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7AE1" w:rsidRPr="00DC0E07" w:rsidRDefault="00DD7AE1" w:rsidP="00DC0E07">
      <w:pPr>
        <w:spacing w:after="0" w:line="240" w:lineRule="auto"/>
        <w:jc w:val="center"/>
        <w:rPr>
          <w:rFonts w:cs="Arial"/>
          <w:b/>
        </w:rPr>
      </w:pPr>
    </w:p>
    <w:p w:rsidR="00DD7AE1" w:rsidRPr="00DC0E07" w:rsidRDefault="00DD7AE1" w:rsidP="00DC0E07">
      <w:pPr>
        <w:spacing w:after="0" w:line="240" w:lineRule="auto"/>
        <w:jc w:val="center"/>
        <w:rPr>
          <w:rFonts w:cs="Arial"/>
          <w:sz w:val="28"/>
        </w:rPr>
      </w:pPr>
      <w:r w:rsidRPr="00DC0E07">
        <w:rPr>
          <w:rFonts w:cs="Arial"/>
          <w:sz w:val="28"/>
        </w:rPr>
        <w:t>VCE UNIT 4 ART</w:t>
      </w:r>
    </w:p>
    <w:p w:rsidR="00DD7AE1" w:rsidRPr="00DC0E07" w:rsidRDefault="00DD7AE1" w:rsidP="00DC0E07">
      <w:pPr>
        <w:spacing w:after="0" w:line="240" w:lineRule="auto"/>
        <w:jc w:val="center"/>
        <w:rPr>
          <w:rFonts w:ascii="Arial" w:hAnsi="Arial" w:cs="Arial"/>
        </w:rPr>
      </w:pPr>
      <w:r w:rsidRPr="00DC0E07">
        <w:rPr>
          <w:rFonts w:cs="Arial"/>
        </w:rPr>
        <w:t>The Representation of the Female Body in Art</w:t>
      </w:r>
    </w:p>
    <w:p w:rsidR="00DD7AE1" w:rsidRPr="00DC0E07" w:rsidRDefault="00DD7AE1" w:rsidP="00DC0E07">
      <w:pPr>
        <w:pStyle w:val="NormalWeb1"/>
        <w:spacing w:before="0" w:after="0" w:line="240" w:lineRule="auto"/>
        <w:jc w:val="center"/>
        <w:rPr>
          <w:rFonts w:ascii="Calibri" w:hAnsi="Calibri"/>
          <w:sz w:val="22"/>
        </w:rPr>
      </w:pPr>
      <w:r>
        <w:rPr>
          <w:noProof/>
        </w:rPr>
        <w:pict>
          <v:line id="_x0000_s1026" style="position:absolute;left:0;text-align:left;z-index:251655680" from="-9pt,10.8pt" to="459pt,10.8pt">
            <w10:wrap side="left"/>
          </v:line>
        </w:pict>
      </w:r>
    </w:p>
    <w:p w:rsidR="00DD7AE1" w:rsidRPr="00DC0E07" w:rsidRDefault="00DD7AE1" w:rsidP="00DC0E07">
      <w:pPr>
        <w:pStyle w:val="NormalWeb1"/>
        <w:spacing w:before="0" w:after="0" w:line="240" w:lineRule="auto"/>
        <w:jc w:val="center"/>
        <w:rPr>
          <w:rFonts w:ascii="Calibri" w:hAnsi="Calibri"/>
          <w:sz w:val="22"/>
        </w:rPr>
      </w:pPr>
      <w:r w:rsidRPr="00DC0E07">
        <w:rPr>
          <w:rFonts w:ascii="Calibri" w:hAnsi="Calibri"/>
          <w:sz w:val="22"/>
        </w:rPr>
        <w:t xml:space="preserve">FEATURED ARTIST: </w:t>
      </w:r>
      <w:r w:rsidRPr="00FC72D5">
        <w:rPr>
          <w:rFonts w:ascii="Calibri" w:hAnsi="Calibri" w:cs="Times-Roman"/>
          <w:bCs/>
          <w:sz w:val="22"/>
          <w:szCs w:val="32"/>
        </w:rPr>
        <w:t>Édouard Manet</w:t>
      </w: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Default="00DD7AE1" w:rsidP="00696602">
      <w:pPr>
        <w:rPr>
          <w:rFonts w:ascii="Arial" w:hAnsi="Arial" w:cs="Arial"/>
        </w:rPr>
      </w:pPr>
    </w:p>
    <w:p w:rsidR="00DD7AE1" w:rsidRPr="004E0B09" w:rsidRDefault="00DD7AE1" w:rsidP="00696602">
      <w:pPr>
        <w:rPr>
          <w:rFonts w:ascii="Arial" w:hAnsi="Arial" w:cs="Arial"/>
        </w:rPr>
      </w:pPr>
    </w:p>
    <w:p w:rsidR="00DD7AE1" w:rsidRDefault="00DD7AE1" w:rsidP="00696602"/>
    <w:p w:rsidR="00DD7AE1" w:rsidRDefault="00DD7AE1" w:rsidP="00696602">
      <w:pPr>
        <w:jc w:val="right"/>
      </w:pPr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45pt;margin-top:-26.05pt;width:5in;height:36pt;z-index:251654656" stroked="f">
            <v:textbox style="mso-next-textbox:#_x0000_s1027">
              <w:txbxContent>
                <w:p w:rsidR="00DD7AE1" w:rsidRPr="00DC0E07" w:rsidRDefault="00DD7AE1" w:rsidP="00176221">
                  <w:pPr>
                    <w:widowControl w:val="0"/>
                    <w:autoSpaceDE w:val="0"/>
                    <w:autoSpaceDN w:val="0"/>
                    <w:adjustRightInd w:val="0"/>
                    <w:spacing w:line="440" w:lineRule="atLeast"/>
                    <w:jc w:val="center"/>
                  </w:pPr>
                  <w:r w:rsidRPr="00FC72D5">
                    <w:rPr>
                      <w:rFonts w:cs="Times-Roman"/>
                      <w:i/>
                      <w:iCs/>
                      <w:szCs w:val="30"/>
                    </w:rPr>
                    <w:t>Olympia</w:t>
                  </w:r>
                  <w:r w:rsidRPr="00FC72D5">
                    <w:rPr>
                      <w:rFonts w:cs="Times-Roman"/>
                      <w:szCs w:val="30"/>
                    </w:rPr>
                    <w:t>, 1863. Oil on canvas, 130.5cm x190cm</w:t>
                  </w:r>
                </w:p>
              </w:txbxContent>
            </v:textbox>
          </v:shape>
        </w:pict>
      </w:r>
    </w:p>
    <w:p w:rsidR="00DD7AE1" w:rsidRPr="00544AA2" w:rsidRDefault="00DD7AE1" w:rsidP="00696602">
      <w:pPr>
        <w:jc w:val="right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pt;margin-top:-293.05pt;width:370pt;height:250.55pt;z-index:251659776">
            <v:imagedata r:id="rId7" o:title="800px-ÉDOUARD_MANET_-_Olympia_(Museo_de_Orsay,_París,_1863"/>
            <w10:wrap type="square"/>
          </v:shape>
        </w:pict>
      </w:r>
    </w:p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>
      <w:r>
        <w:rPr>
          <w:noProof/>
          <w:lang w:val="en-US" w:eastAsia="en-US"/>
        </w:rPr>
        <w:pict>
          <v:shape id="_x0000_s1029" type="#_x0000_t75" style="position:absolute;margin-left:36pt;margin-top:-82.8pt;width:379pt;height:299.55pt;z-index:251660800">
            <v:imagedata r:id="rId8" o:title="758px-Manet,_Edouard_-_Le_Déjeuner_sur_l'Herbe_(The_Picnic)_(1)"/>
            <w10:wrap type="square"/>
          </v:shape>
        </w:pict>
      </w:r>
    </w:p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/>
    <w:p w:rsidR="00DD7AE1" w:rsidRPr="00117DE0" w:rsidRDefault="00DD7AE1" w:rsidP="00696602"/>
    <w:p w:rsidR="00DD7AE1" w:rsidRPr="00DC0E07" w:rsidRDefault="00DD7AE1" w:rsidP="003C1AB4">
      <w:pPr>
        <w:contextualSpacing/>
        <w:rPr>
          <w:u w:val="single"/>
        </w:rPr>
      </w:pPr>
      <w:r>
        <w:rPr>
          <w:noProof/>
          <w:lang w:val="en-US" w:eastAsia="en-US"/>
        </w:rPr>
        <w:pict>
          <v:shape id="_x0000_s1030" type="#_x0000_t202" style="position:absolute;margin-left:63pt;margin-top:10.65pt;width:333pt;height:63pt;z-index:251656704" stroked="f">
            <v:textbox>
              <w:txbxContent>
                <w:p w:rsidR="00DD7AE1" w:rsidRPr="00FC72D5" w:rsidRDefault="00DD7AE1" w:rsidP="00176221">
                  <w:pPr>
                    <w:widowControl w:val="0"/>
                    <w:autoSpaceDE w:val="0"/>
                    <w:autoSpaceDN w:val="0"/>
                    <w:adjustRightInd w:val="0"/>
                    <w:spacing w:line="440" w:lineRule="atLeast"/>
                  </w:pPr>
                  <w:r w:rsidRPr="00FC72D5">
                    <w:rPr>
                      <w:rFonts w:cs="Times-Roman"/>
                      <w:i/>
                      <w:iCs/>
                      <w:szCs w:val="30"/>
                    </w:rPr>
                    <w:t>Luncheon on the Grass</w:t>
                  </w:r>
                  <w:r w:rsidRPr="00FC72D5">
                    <w:rPr>
                      <w:rFonts w:cs="Times-Roman"/>
                      <w:szCs w:val="30"/>
                    </w:rPr>
                    <w:t>, 1862 – 1863. Oil on canvas, 208 cm x 265.5 cm</w:t>
                  </w:r>
                </w:p>
                <w:p w:rsidR="00DD7AE1" w:rsidRPr="00DC0E07" w:rsidRDefault="00DD7AE1" w:rsidP="00DC0E07">
                  <w:pPr>
                    <w:pStyle w:val="NormalWeb1"/>
                    <w:jc w:val="center"/>
                    <w:rPr>
                      <w:rFonts w:ascii="Calibri" w:hAnsi="Calibri"/>
                      <w:sz w:val="20"/>
                    </w:rPr>
                  </w:pPr>
                  <w:r w:rsidRPr="00DC0E07">
                    <w:rPr>
                      <w:rFonts w:cs="Arial"/>
                      <w:sz w:val="20"/>
                    </w:rPr>
                    <w:br/>
                  </w:r>
                </w:p>
              </w:txbxContent>
            </v:textbox>
          </v:shape>
        </w:pict>
      </w:r>
    </w:p>
    <w:p w:rsidR="00DD7AE1" w:rsidRPr="00DC0E07" w:rsidRDefault="00DD7AE1" w:rsidP="003C1AB4">
      <w:pPr>
        <w:contextualSpacing/>
      </w:pPr>
    </w:p>
    <w:p w:rsidR="00DD7AE1" w:rsidRPr="00DC0E07" w:rsidRDefault="00DD7AE1" w:rsidP="00DC0E07">
      <w:pPr>
        <w:contextualSpacing/>
        <w:jc w:val="center"/>
        <w:rPr>
          <w:rFonts w:cs="Times-Roman"/>
          <w:bCs/>
          <w:sz w:val="28"/>
          <w:lang w:val="en-US"/>
        </w:rPr>
      </w:pPr>
      <w:r w:rsidRPr="00DC0E07">
        <w:rPr>
          <w:rFonts w:cs="Times-Roman"/>
          <w:bCs/>
          <w:sz w:val="28"/>
          <w:lang w:val="en-US"/>
        </w:rPr>
        <w:t>THINK, INVESTIGATE, CREATE</w:t>
      </w:r>
    </w:p>
    <w:p w:rsidR="00DD7AE1" w:rsidRPr="00DC0E07" w:rsidRDefault="00DD7AE1" w:rsidP="00DC0E07">
      <w:pPr>
        <w:contextualSpacing/>
        <w:jc w:val="center"/>
        <w:rPr>
          <w:sz w:val="28"/>
        </w:rPr>
      </w:pPr>
      <w:r>
        <w:rPr>
          <w:noProof/>
          <w:lang w:val="en-US" w:eastAsia="en-US"/>
        </w:rPr>
        <w:pict>
          <v:line id="_x0000_s1031" style="position:absolute;left:0;text-align:left;z-index:251657728" from="0,11.55pt" to="468pt,11.55pt">
            <w10:wrap side="left"/>
          </v:line>
        </w:pict>
      </w:r>
    </w:p>
    <w:p w:rsidR="00DD7AE1" w:rsidRPr="00DC0E07" w:rsidRDefault="00DD7AE1" w:rsidP="003C1AB4">
      <w:pPr>
        <w:contextualSpacing/>
      </w:pPr>
      <w:r w:rsidRPr="00DC0E07">
        <w:t>Your activity is to:</w:t>
      </w:r>
    </w:p>
    <w:p w:rsidR="00DD7AE1" w:rsidRPr="00DC0E07" w:rsidRDefault="00DD7AE1" w:rsidP="003C1AB4">
      <w:pPr>
        <w:contextualSpacing/>
      </w:pPr>
    </w:p>
    <w:p w:rsidR="00DD7AE1" w:rsidRPr="00DC0E07" w:rsidRDefault="00DD7AE1" w:rsidP="00DC0E07">
      <w:pPr>
        <w:numPr>
          <w:ilvl w:val="0"/>
          <w:numId w:val="2"/>
        </w:numPr>
        <w:contextualSpacing/>
      </w:pPr>
      <w:r w:rsidRPr="00DC0E07">
        <w:t>Carefully read the provided commentaries by Berger and Nochlin provided below.</w:t>
      </w:r>
    </w:p>
    <w:p w:rsidR="00DD7AE1" w:rsidRPr="00DC0E07" w:rsidRDefault="00DD7AE1" w:rsidP="00DC0E07">
      <w:pPr>
        <w:numPr>
          <w:ilvl w:val="0"/>
          <w:numId w:val="2"/>
        </w:numPr>
        <w:contextualSpacing/>
        <w:rPr>
          <w:i/>
        </w:rPr>
      </w:pPr>
      <w:r w:rsidRPr="00DC0E07">
        <w:t xml:space="preserve"> Respond to the commentaries by analysing how they can be used in discussion about </w:t>
      </w:r>
      <w:r w:rsidRPr="00FC72D5">
        <w:rPr>
          <w:rFonts w:cs="Times-Roman"/>
          <w:bCs/>
          <w:szCs w:val="32"/>
        </w:rPr>
        <w:t>Édouard Manet’s</w:t>
      </w:r>
      <w:r w:rsidRPr="00DC0E07">
        <w:t xml:space="preserve"> </w:t>
      </w:r>
      <w:r w:rsidRPr="00DC0E07">
        <w:rPr>
          <w:b/>
          <w:i/>
        </w:rPr>
        <w:t>Olympia</w:t>
      </w:r>
      <w:r w:rsidRPr="00DC0E07">
        <w:rPr>
          <w:i/>
        </w:rPr>
        <w:t xml:space="preserve"> </w:t>
      </w:r>
      <w:r w:rsidRPr="00DC0E07">
        <w:t xml:space="preserve">and  </w:t>
      </w:r>
      <w:r w:rsidRPr="00DC0E07">
        <w:rPr>
          <w:b/>
          <w:i/>
        </w:rPr>
        <w:t>Luncheon on the Grass</w:t>
      </w:r>
      <w:r w:rsidRPr="00DC0E07">
        <w:rPr>
          <w:i/>
        </w:rPr>
        <w:t xml:space="preserve">. </w:t>
      </w:r>
      <w:r w:rsidRPr="00DC0E07">
        <w:t xml:space="preserve"> </w:t>
      </w:r>
    </w:p>
    <w:p w:rsidR="00DD7AE1" w:rsidRPr="00DC0E07" w:rsidRDefault="00DD7AE1" w:rsidP="00DC0E07">
      <w:pPr>
        <w:numPr>
          <w:ilvl w:val="0"/>
          <w:numId w:val="2"/>
        </w:numPr>
        <w:contextualSpacing/>
        <w:rPr>
          <w:i/>
        </w:rPr>
      </w:pPr>
      <w:r w:rsidRPr="00DC0E07">
        <w:t>Use the Formal framework and Cultural Frameworks to conduct an analysis on both works to help with discussion in terms of evidence to the commentaries.</w:t>
      </w:r>
    </w:p>
    <w:p w:rsidR="00DD7AE1" w:rsidRPr="00176221" w:rsidRDefault="00DD7AE1" w:rsidP="00DC0E07">
      <w:pPr>
        <w:numPr>
          <w:ilvl w:val="0"/>
          <w:numId w:val="2"/>
        </w:numPr>
        <w:contextualSpacing/>
        <w:rPr>
          <w:i/>
        </w:rPr>
      </w:pPr>
      <w:r w:rsidRPr="00FC72D5">
        <w:rPr>
          <w:rFonts w:cs="Times-Roman"/>
          <w:bCs/>
          <w:szCs w:val="32"/>
        </w:rPr>
        <w:t>How does Manet’s</w:t>
      </w:r>
      <w:r w:rsidRPr="00DC0E07">
        <w:t xml:space="preserve"> works </w:t>
      </w:r>
      <w:r w:rsidRPr="00DC0E07">
        <w:rPr>
          <w:b/>
          <w:i/>
        </w:rPr>
        <w:t>Olympia</w:t>
      </w:r>
      <w:r w:rsidRPr="00DC0E07">
        <w:rPr>
          <w:i/>
        </w:rPr>
        <w:t xml:space="preserve"> </w:t>
      </w:r>
      <w:r w:rsidRPr="00DC0E07">
        <w:t xml:space="preserve">and </w:t>
      </w:r>
      <w:r w:rsidRPr="00DC0E07">
        <w:rPr>
          <w:b/>
          <w:i/>
        </w:rPr>
        <w:t>Luncheon on the Grass</w:t>
      </w:r>
      <w:r w:rsidRPr="00DC0E07">
        <w:t xml:space="preserve">  objectify the female nude? </w:t>
      </w:r>
      <w:r w:rsidRPr="00176221">
        <w:t xml:space="preserve">In your response discuss the idea of commodity and </w:t>
      </w:r>
      <w:r w:rsidRPr="00DC0E07">
        <w:t>explain by using evidence from the paintings.</w:t>
      </w:r>
    </w:p>
    <w:p w:rsidR="00DD7AE1" w:rsidRPr="00176221" w:rsidRDefault="00DD7AE1" w:rsidP="00176221">
      <w:pPr>
        <w:numPr>
          <w:ilvl w:val="0"/>
          <w:numId w:val="2"/>
        </w:numPr>
        <w:contextualSpacing/>
        <w:rPr>
          <w:rFonts w:cs="Calibri"/>
        </w:rPr>
      </w:pPr>
      <w:r w:rsidRPr="00176221">
        <w:t xml:space="preserve">Is there evidence of Berger’s statement </w:t>
      </w:r>
      <w:r w:rsidRPr="00176221">
        <w:rPr>
          <w:b/>
        </w:rPr>
        <w:t>“...</w:t>
      </w:r>
      <w:r w:rsidRPr="00176221">
        <w:rPr>
          <w:rFonts w:cs="Calibri"/>
          <w:b/>
          <w:i/>
        </w:rPr>
        <w:t xml:space="preserve">in European art from the Renaissance onwards women were depicted as being ‘aware of being seen by a [male] spectator” </w:t>
      </w:r>
      <w:r w:rsidRPr="00176221">
        <w:rPr>
          <w:rFonts w:cs="Calibri"/>
        </w:rPr>
        <w:t xml:space="preserve">in Manet’s </w:t>
      </w:r>
      <w:r w:rsidRPr="00DC0E07">
        <w:t xml:space="preserve">works </w:t>
      </w:r>
      <w:r w:rsidRPr="00DC0E07">
        <w:rPr>
          <w:b/>
          <w:i/>
        </w:rPr>
        <w:t>Olympia</w:t>
      </w:r>
      <w:r w:rsidRPr="00DC0E07">
        <w:rPr>
          <w:i/>
        </w:rPr>
        <w:t xml:space="preserve"> </w:t>
      </w:r>
      <w:r w:rsidRPr="00DC0E07">
        <w:t xml:space="preserve">and </w:t>
      </w:r>
      <w:r w:rsidRPr="00DC0E07">
        <w:rPr>
          <w:b/>
          <w:i/>
        </w:rPr>
        <w:t>Luncheon on the Grass</w:t>
      </w:r>
      <w:r w:rsidRPr="00176221">
        <w:rPr>
          <w:rFonts w:cs="Calibri"/>
        </w:rPr>
        <w:t>? Discuss.</w:t>
      </w:r>
    </w:p>
    <w:p w:rsidR="00DD7AE1" w:rsidRPr="00176221" w:rsidRDefault="00DD7AE1" w:rsidP="00176221">
      <w:pPr>
        <w:numPr>
          <w:ilvl w:val="0"/>
          <w:numId w:val="2"/>
        </w:numPr>
        <w:contextualSpacing/>
        <w:rPr>
          <w:i/>
        </w:rPr>
      </w:pPr>
      <w:r w:rsidRPr="00176221">
        <w:rPr>
          <w:rFonts w:cs="Calibri"/>
        </w:rPr>
        <w:t xml:space="preserve">By means of this very famous quote by Berger 1972: </w:t>
      </w:r>
      <w:r w:rsidRPr="00176221">
        <w:rPr>
          <w:rFonts w:cs="Calibri"/>
          <w:b/>
          <w:bCs/>
          <w:i/>
        </w:rPr>
        <w:t>“Men act and women appear. Men look at women. Women watch themselves being looked at”,</w:t>
      </w:r>
      <w:r w:rsidRPr="00176221">
        <w:rPr>
          <w:rFonts w:cs="Calibri"/>
          <w:bCs/>
          <w:i/>
        </w:rPr>
        <w:t xml:space="preserve"> </w:t>
      </w:r>
      <w:r w:rsidRPr="00176221">
        <w:rPr>
          <w:rFonts w:cs="Calibri"/>
        </w:rPr>
        <w:t>discuss this commentary with reference to one of Manet’s works.</w:t>
      </w:r>
    </w:p>
    <w:p w:rsidR="00DD7AE1" w:rsidRPr="00176221" w:rsidRDefault="00DD7AE1" w:rsidP="00176221">
      <w:pPr>
        <w:numPr>
          <w:ilvl w:val="0"/>
          <w:numId w:val="2"/>
        </w:numPr>
        <w:contextualSpacing/>
        <w:rPr>
          <w:rFonts w:cs="Calibri"/>
        </w:rPr>
      </w:pPr>
      <w:r w:rsidRPr="00176221">
        <w:rPr>
          <w:rFonts w:cs="Calibri"/>
        </w:rPr>
        <w:t>Read the following statement by Linda Nochlin:</w:t>
      </w:r>
    </w:p>
    <w:p w:rsidR="00DD7AE1" w:rsidRDefault="00DD7AE1" w:rsidP="00176221">
      <w:pPr>
        <w:ind w:left="720"/>
        <w:contextualSpacing/>
        <w:rPr>
          <w:b/>
          <w:sz w:val="28"/>
        </w:rPr>
      </w:pPr>
      <w:r w:rsidRPr="00176221">
        <w:rPr>
          <w:rFonts w:cs="Calibri"/>
          <w:b/>
          <w:i/>
        </w:rPr>
        <w:t xml:space="preserve">“The male image is one of power, possession and domination, the female is one of submission, passivity and availability”                 </w:t>
      </w:r>
      <w:r w:rsidRPr="00176221">
        <w:rPr>
          <w:rFonts w:cs="Calibri"/>
          <w:b/>
          <w:i/>
        </w:rPr>
        <w:tab/>
      </w:r>
      <w:r w:rsidRPr="00176221">
        <w:rPr>
          <w:rFonts w:cs="Calibri"/>
          <w:b/>
          <w:i/>
        </w:rPr>
        <w:tab/>
      </w:r>
      <w:r w:rsidRPr="00176221">
        <w:rPr>
          <w:rFonts w:cs="Calibri"/>
          <w:b/>
          <w:i/>
        </w:rPr>
        <w:tab/>
        <w:t>— Linda Nochlin, 1972</w:t>
      </w:r>
    </w:p>
    <w:p w:rsidR="00DD7AE1" w:rsidRPr="00176221" w:rsidRDefault="00DD7AE1" w:rsidP="00176221">
      <w:pPr>
        <w:spacing w:line="240" w:lineRule="auto"/>
        <w:ind w:left="720"/>
        <w:contextualSpacing/>
        <w:rPr>
          <w:i/>
        </w:rPr>
      </w:pPr>
      <w:r w:rsidRPr="00176221">
        <w:t>Do you agree or disagree with this statement? Why/Why not? Support your response with evidence from the four artworks.</w:t>
      </w:r>
    </w:p>
    <w:p w:rsidR="00DD7AE1" w:rsidRPr="00DC0E07" w:rsidRDefault="00DD7AE1" w:rsidP="00DC0E07">
      <w:pPr>
        <w:numPr>
          <w:ilvl w:val="0"/>
          <w:numId w:val="2"/>
        </w:numPr>
        <w:contextualSpacing/>
        <w:rPr>
          <w:i/>
        </w:rPr>
      </w:pPr>
      <w:r w:rsidRPr="00DC0E07">
        <w:t>Make sure you provide evidence from Manet’s paintings to support your opinion!!</w:t>
      </w:r>
    </w:p>
    <w:p w:rsidR="00DD7AE1" w:rsidRPr="00117DE0" w:rsidRDefault="00DD7AE1" w:rsidP="00696602"/>
    <w:p w:rsidR="00DD7AE1" w:rsidRPr="00DC0E07" w:rsidRDefault="00DD7AE1" w:rsidP="00DC0E07">
      <w:pPr>
        <w:contextualSpacing/>
        <w:jc w:val="center"/>
        <w:rPr>
          <w:sz w:val="28"/>
        </w:rPr>
      </w:pPr>
      <w:r w:rsidRPr="00DC0E07">
        <w:rPr>
          <w:sz w:val="28"/>
        </w:rPr>
        <w:t>COMMENTARIES</w:t>
      </w:r>
    </w:p>
    <w:p w:rsidR="00DD7AE1" w:rsidRPr="00DC0E07" w:rsidRDefault="00DD7AE1" w:rsidP="003C1AB4">
      <w:pPr>
        <w:contextualSpacing/>
        <w:rPr>
          <w:b/>
          <w:sz w:val="28"/>
        </w:rPr>
      </w:pPr>
      <w:r>
        <w:rPr>
          <w:noProof/>
          <w:lang w:val="en-US" w:eastAsia="en-US"/>
        </w:rPr>
        <w:pict>
          <v:line id="_x0000_s1032" style="position:absolute;z-index:251658752" from="0,6.75pt" to="468pt,6.75pt">
            <w10:wrap side="left"/>
          </v:line>
        </w:pict>
      </w:r>
    </w:p>
    <w:p w:rsidR="00DD7AE1" w:rsidRPr="00176221" w:rsidRDefault="00DD7AE1" w:rsidP="00176221">
      <w:pPr>
        <w:contextualSpacing/>
        <w:rPr>
          <w:rFonts w:cs="Calibri"/>
          <w:bCs/>
          <w:i/>
          <w:color w:val="808080"/>
        </w:rPr>
      </w:pPr>
      <w:r w:rsidRPr="00176221">
        <w:rPr>
          <w:b/>
          <w:color w:val="808080"/>
          <w:sz w:val="28"/>
        </w:rPr>
        <w:t>‘</w:t>
      </w:r>
      <w:r w:rsidRPr="00176221">
        <w:rPr>
          <w:rFonts w:cs="Calibri"/>
          <w:bCs/>
          <w:i/>
          <w:color w:val="808080"/>
        </w:rPr>
        <w:t>Men act and women appear. Men look at women. Women watch themselves being looked at’.</w:t>
      </w:r>
    </w:p>
    <w:p w:rsidR="00DD7AE1" w:rsidRPr="00B51D30" w:rsidRDefault="00DD7AE1" w:rsidP="00176221">
      <w:pPr>
        <w:contextualSpacing/>
        <w:jc w:val="right"/>
        <w:rPr>
          <w:rFonts w:cs="Calibri"/>
          <w:bCs/>
          <w:i/>
        </w:rPr>
      </w:pPr>
      <w:r w:rsidRPr="00B51D30">
        <w:rPr>
          <w:rFonts w:cs="Calibri"/>
          <w:i/>
        </w:rPr>
        <w:t xml:space="preserve">— </w:t>
      </w:r>
      <w:r w:rsidRPr="00B51D30">
        <w:rPr>
          <w:rFonts w:cs="Calibri"/>
          <w:bCs/>
          <w:i/>
        </w:rPr>
        <w:t>John Berger</w:t>
      </w:r>
      <w:r>
        <w:rPr>
          <w:rFonts w:cs="Calibri"/>
          <w:bCs/>
          <w:i/>
        </w:rPr>
        <w:t xml:space="preserve"> 1972</w:t>
      </w:r>
    </w:p>
    <w:p w:rsidR="00DD7AE1" w:rsidRDefault="00DD7AE1" w:rsidP="00176221">
      <w:pPr>
        <w:contextualSpacing/>
        <w:rPr>
          <w:sz w:val="27"/>
        </w:rPr>
      </w:pPr>
    </w:p>
    <w:p w:rsidR="00DD7AE1" w:rsidRPr="00176221" w:rsidRDefault="00DD7AE1" w:rsidP="00176221">
      <w:pPr>
        <w:contextualSpacing/>
        <w:rPr>
          <w:rFonts w:cs="Calibri"/>
          <w:i/>
          <w:color w:val="808080"/>
        </w:rPr>
      </w:pPr>
      <w:r w:rsidRPr="00176221">
        <w:rPr>
          <w:rFonts w:cs="Calibri"/>
          <w:i/>
          <w:color w:val="808080"/>
        </w:rPr>
        <w:t xml:space="preserve">Berger argues that in European art from the Renaissance onwards women were depicted as being ‘aware of being seen by a [male] spectator’ </w:t>
      </w:r>
    </w:p>
    <w:p w:rsidR="00DD7AE1" w:rsidRPr="007623F4" w:rsidRDefault="00DD7AE1" w:rsidP="00176221">
      <w:pPr>
        <w:ind w:left="6480" w:firstLine="720"/>
        <w:contextualSpacing/>
        <w:rPr>
          <w:rFonts w:cs="Calibri"/>
          <w:bCs/>
          <w:i/>
        </w:rPr>
      </w:pPr>
      <w:r w:rsidRPr="00B51D30">
        <w:rPr>
          <w:rFonts w:cs="Calibri"/>
          <w:i/>
        </w:rPr>
        <w:t xml:space="preserve">— </w:t>
      </w:r>
      <w:r w:rsidRPr="00B51D30">
        <w:rPr>
          <w:rFonts w:cs="Calibri"/>
          <w:bCs/>
          <w:i/>
        </w:rPr>
        <w:t>John Berger</w:t>
      </w:r>
      <w:r>
        <w:rPr>
          <w:rFonts w:cs="Calibri"/>
          <w:bCs/>
          <w:i/>
        </w:rPr>
        <w:t xml:space="preserve"> 1972</w:t>
      </w:r>
    </w:p>
    <w:p w:rsidR="00DD7AE1" w:rsidRPr="00B51D30" w:rsidRDefault="00DD7AE1" w:rsidP="00176221">
      <w:pPr>
        <w:contextualSpacing/>
        <w:rPr>
          <w:rFonts w:cs="Calibri"/>
          <w:i/>
        </w:rPr>
      </w:pPr>
    </w:p>
    <w:p w:rsidR="00DD7AE1" w:rsidRPr="00176221" w:rsidRDefault="00DD7AE1" w:rsidP="00176221">
      <w:pPr>
        <w:contextualSpacing/>
        <w:rPr>
          <w:rFonts w:cs="Calibri"/>
          <w:i/>
          <w:color w:val="808080"/>
        </w:rPr>
      </w:pPr>
      <w:r w:rsidRPr="00176221">
        <w:rPr>
          <w:rFonts w:cs="Calibri"/>
          <w:i/>
          <w:color w:val="808080"/>
        </w:rPr>
        <w:t>“The male image is one of power, possession and domination, the female is one of submission, passivity and availability”</w:t>
      </w:r>
    </w:p>
    <w:p w:rsidR="00DD7AE1" w:rsidRPr="00B51D30" w:rsidRDefault="00DD7AE1" w:rsidP="00176221">
      <w:pPr>
        <w:ind w:left="6480"/>
        <w:contextualSpacing/>
        <w:jc w:val="right"/>
        <w:rPr>
          <w:rFonts w:cs="Calibri"/>
          <w:i/>
        </w:rPr>
      </w:pPr>
      <w:r w:rsidRPr="00B51D30">
        <w:rPr>
          <w:rFonts w:cs="Calibri"/>
          <w:i/>
        </w:rPr>
        <w:t>— Linda Nochlin 1972</w:t>
      </w:r>
    </w:p>
    <w:p w:rsidR="00DD7AE1" w:rsidRPr="00DC0E07" w:rsidRDefault="00DD7AE1" w:rsidP="00DC0E07">
      <w:pPr>
        <w:contextualSpacing/>
        <w:jc w:val="right"/>
      </w:pPr>
    </w:p>
    <w:p w:rsidR="00DD7AE1" w:rsidRPr="00DC0E07" w:rsidRDefault="00DD7AE1"/>
    <w:sectPr w:rsidR="00DD7AE1" w:rsidRPr="00DC0E07" w:rsidSect="00EB09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E1" w:rsidRDefault="00DD7AE1" w:rsidP="007B737C">
      <w:pPr>
        <w:spacing w:after="0" w:line="240" w:lineRule="auto"/>
      </w:pPr>
      <w:r>
        <w:separator/>
      </w:r>
    </w:p>
  </w:endnote>
  <w:endnote w:type="continuationSeparator" w:id="0">
    <w:p w:rsidR="00DD7AE1" w:rsidRDefault="00DD7AE1" w:rsidP="007B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E1" w:rsidRDefault="00DD7AE1" w:rsidP="007B737C">
      <w:pPr>
        <w:spacing w:after="0" w:line="240" w:lineRule="auto"/>
      </w:pPr>
      <w:r>
        <w:separator/>
      </w:r>
    </w:p>
  </w:footnote>
  <w:footnote w:type="continuationSeparator" w:id="0">
    <w:p w:rsidR="00DD7AE1" w:rsidRDefault="00DD7AE1" w:rsidP="007B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E1" w:rsidRPr="00DC0E07" w:rsidRDefault="00DD7AE1" w:rsidP="00DC0E07">
    <w:pPr>
      <w:pStyle w:val="Header"/>
      <w:spacing w:after="0" w:line="240" w:lineRule="auto"/>
      <w:jc w:val="right"/>
      <w:rPr>
        <w:rFonts w:cs="Times-Roman"/>
        <w:color w:val="999999"/>
        <w:sz w:val="16"/>
        <w:lang w:val="en-US"/>
      </w:rPr>
    </w:pPr>
    <w:r w:rsidRPr="00DC0E07">
      <w:rPr>
        <w:rFonts w:cs="Times-Roman"/>
        <w:color w:val="999999"/>
        <w:sz w:val="16"/>
        <w:lang w:val="en-US"/>
      </w:rPr>
      <w:t>Marissa Panagenas s00131764</w:t>
    </w:r>
  </w:p>
  <w:p w:rsidR="00DD7AE1" w:rsidRPr="00DC0E07" w:rsidRDefault="00DD7AE1" w:rsidP="00DC0E07">
    <w:pPr>
      <w:pStyle w:val="Header"/>
      <w:spacing w:after="0" w:line="240" w:lineRule="auto"/>
      <w:jc w:val="right"/>
      <w:rPr>
        <w:rFonts w:cs="Times-Roman"/>
        <w:color w:val="999999"/>
        <w:sz w:val="16"/>
        <w:lang w:val="en-US"/>
      </w:rPr>
    </w:pPr>
  </w:p>
  <w:p w:rsidR="00DD7AE1" w:rsidRPr="00DC0E07" w:rsidRDefault="00DD7AE1" w:rsidP="00DC0E07">
    <w:pPr>
      <w:pStyle w:val="Header"/>
      <w:spacing w:after="0" w:line="240" w:lineRule="auto"/>
      <w:jc w:val="center"/>
      <w:rPr>
        <w:color w:val="999999"/>
        <w:sz w:val="40"/>
      </w:rPr>
    </w:pPr>
    <w:r w:rsidRPr="00DC0E07">
      <w:rPr>
        <w:rFonts w:cs="Times-Roman"/>
        <w:color w:val="999999"/>
        <w:sz w:val="40"/>
        <w:lang w:val="en-US"/>
      </w:rPr>
      <w:t>DISCUSSING &amp; DEBATING ART ISSUES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075"/>
    <w:multiLevelType w:val="hybridMultilevel"/>
    <w:tmpl w:val="A0F08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219B7"/>
    <w:multiLevelType w:val="hybridMultilevel"/>
    <w:tmpl w:val="027CA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02"/>
    <w:rsid w:val="00060E4C"/>
    <w:rsid w:val="000C7D5D"/>
    <w:rsid w:val="00117DE0"/>
    <w:rsid w:val="00176221"/>
    <w:rsid w:val="001B546F"/>
    <w:rsid w:val="002D20CC"/>
    <w:rsid w:val="003464C8"/>
    <w:rsid w:val="003C1AB4"/>
    <w:rsid w:val="004E0B09"/>
    <w:rsid w:val="005264FE"/>
    <w:rsid w:val="00544AA2"/>
    <w:rsid w:val="006042D8"/>
    <w:rsid w:val="00696602"/>
    <w:rsid w:val="00732FB1"/>
    <w:rsid w:val="00755276"/>
    <w:rsid w:val="007623F4"/>
    <w:rsid w:val="007B737C"/>
    <w:rsid w:val="007E7E8B"/>
    <w:rsid w:val="0089488F"/>
    <w:rsid w:val="009B2811"/>
    <w:rsid w:val="00AB3485"/>
    <w:rsid w:val="00B51D30"/>
    <w:rsid w:val="00C60966"/>
    <w:rsid w:val="00C941F9"/>
    <w:rsid w:val="00CE39F4"/>
    <w:rsid w:val="00DC0E07"/>
    <w:rsid w:val="00DD7AE1"/>
    <w:rsid w:val="00DE6C10"/>
    <w:rsid w:val="00EB09F8"/>
    <w:rsid w:val="00F24C47"/>
    <w:rsid w:val="00FC72D5"/>
    <w:rsid w:val="00FD218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F8"/>
    <w:pPr>
      <w:spacing w:after="200" w:line="276" w:lineRule="auto"/>
    </w:pPr>
    <w:rPr>
      <w:sz w:val="22"/>
      <w:szCs w:val="22"/>
      <w:lang w:val="en-AU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eb1">
    <w:name w:val="Normal (Web)1"/>
    <w:basedOn w:val="Normal"/>
    <w:uiPriority w:val="99"/>
    <w:rsid w:val="00696602"/>
    <w:pPr>
      <w:spacing w:before="75" w:after="100" w:afterAutospacing="1" w:line="336" w:lineRule="auto"/>
    </w:pPr>
    <w:rPr>
      <w:rFonts w:ascii="Verdana" w:hAnsi="Verdana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C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3C1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18E"/>
    <w:rPr>
      <w:rFonts w:cs="Times New Roman"/>
      <w:sz w:val="22"/>
      <w:lang w:val="en-AU" w:eastAsia="ja-JP"/>
    </w:rPr>
  </w:style>
  <w:style w:type="paragraph" w:styleId="Footer">
    <w:name w:val="footer"/>
    <w:basedOn w:val="Normal"/>
    <w:link w:val="FooterChar"/>
    <w:uiPriority w:val="99"/>
    <w:semiHidden/>
    <w:rsid w:val="00DC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18E"/>
    <w:rPr>
      <w:rFonts w:cs="Times New Roman"/>
      <w:sz w:val="22"/>
      <w:lang w:val="en-AU" w:eastAsia="ja-JP"/>
    </w:rPr>
  </w:style>
  <w:style w:type="character" w:styleId="Hyperlink">
    <w:name w:val="Hyperlink"/>
    <w:basedOn w:val="DefaultParagraphFont"/>
    <w:uiPriority w:val="99"/>
    <w:semiHidden/>
    <w:rsid w:val="001762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 4 ART</dc:title>
  <dc:subject/>
  <dc:creator>j.pitruzzello</dc:creator>
  <cp:keywords/>
  <cp:lastModifiedBy>Stavroula</cp:lastModifiedBy>
  <cp:revision>2</cp:revision>
  <dcterms:created xsi:type="dcterms:W3CDTF">2012-11-12T06:26:00Z</dcterms:created>
  <dcterms:modified xsi:type="dcterms:W3CDTF">2012-11-12T06:26:00Z</dcterms:modified>
</cp:coreProperties>
</file>